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SCHRIFTELIJKE VRAGEN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Betreft: Vragen over de voortgang van de restauratie van de Stelling en de rol van Stichting De Herstelling/erfgoedstichting</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right"/>
        <w:rPr>
          <w:rFonts w:ascii="Arial" w:cs="Arial" w:eastAsia="Arial" w:hAnsi="Arial"/>
        </w:rPr>
      </w:pPr>
      <w:r w:rsidDel="00000000" w:rsidR="00000000" w:rsidRPr="00000000">
        <w:rPr>
          <w:rFonts w:ascii="Arial" w:cs="Arial" w:eastAsia="Arial" w:hAnsi="Arial"/>
          <w:rtl w:val="0"/>
        </w:rPr>
        <w:t xml:space="preserve">Den Helder, 23 maart 2025</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In 2002 werd in de gemeenteraad gesproken over Stichting De Herstelling, en in 2003 heeft de raad een besluit genomen over de aanpak van de restauratie van de Stelling. Sindsdien lijkt de voortgang van dit project echter te stagneren. Ondanks hernieuwde aandacht in het afgelopen halfjaar is er nog steeds geen duidelijkheid over de status en planning van de restauratie. Bent u het met deze constratering eens?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Gezien het belang van de Stelling voor het historisch erfgoed en de toeristische waarde van onze gemeente, hebben wij de volgende vragen: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1. Wat was precies het besluit dat de gemeenteraad in 2003 heeft genomen met betrekking tot de restauratie van de Stelling wat toen de Herstelling heette?</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2. Welke concrete stappen zijn er sindsdien gezet om uitvoering te geven aan dit besluit?</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3. Welke partijen zijn momenteel betrokken bij de restauratie en wat is de rol van Stichting De Herstelling op dit moment?</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4. Zijn er financiële middelen gereserveerd voor de restauratie en zo ja, hoeveel?</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5. Welke knelpunten belemmeren de voortgang van de restauratie en wat wordt eraan gedaan om deze op te lossen?</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6. Wanneer kan de gemeenteraad en de inwoners van Den Helder verwachten dat de restauratie daadwerkelijk van start gaat?</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7. Is het college bereid een duidelijke planning en tijdspad te presenteren voor de uitvoering van dit project?</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Namens de fractie van Behoorlijk Bestuur voor Den Helder en Julianadorp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S. Hamerslag </w:t>
      </w:r>
    </w:p>
    <w:p w:rsidR="00000000" w:rsidDel="00000000" w:rsidP="00000000" w:rsidRDefault="00000000" w:rsidRPr="00000000" w14:paraId="00000016">
      <w:pPr>
        <w:rPr>
          <w:rFonts w:ascii="Arial" w:cs="Arial" w:eastAsia="Arial" w:hAnsi="Arial"/>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